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160" w:line="269" w:lineRule="auto"/>
        <w:jc w:val="center"/>
      </w:pPr>
      <w:r>
        <w:rPr>
          <w:rFonts w:ascii="Calibri" w:hAnsi="Calibri" w:eastAsia="微软雅黑" w:cs="Calibri"/>
          <w:b/>
          <w:color w:val="1F4D78"/>
          <w:sz w:val="48"/>
        </w:rPr>
        <w:t>《人工智能基础与实践（中职版）》v3.0版本特点与修订思路</w:t>
      </w:r>
    </w:p>
    <w:p>
      <w:pPr>
        <w:keepNext/>
        <w:spacing w:before="0" w:after="300"/>
        <w:jc w:val="center"/>
      </w:pPr>
      <w:r>
        <w:rPr>
          <w:rFonts w:ascii="Calibri" w:hAnsi="Calibri" w:eastAsia="微软雅黑" w:cs="Calibri"/>
          <w:b w:val="0"/>
          <w:color w:val="5C6770"/>
          <w:sz w:val="24"/>
        </w:rPr>
        <w:t>——供出版社编辑审阅</w:t>
      </w:r>
    </w:p>
    <w:p>
      <w:pPr>
        <w:keepNext/>
        <w:spacing w:before="0" w:after="60"/>
        <w:ind w:left="504" w:right="504" w:firstLine="0"/>
        <w:jc w:val="left"/>
      </w:pPr>
      <w:r>
        <w:rPr>
          <w:rFonts w:ascii="Calibri" w:hAnsi="Calibri" w:eastAsia="宋体" w:cs="Calibri"/>
          <w:b/>
          <w:color w:val="262B32"/>
          <w:sz w:val="21"/>
        </w:rPr>
        <w:t>版本日期：</w:t>
      </w:r>
      <w:r>
        <w:rPr>
          <w:rFonts w:ascii="Calibri" w:hAnsi="Calibri" w:eastAsia="宋体" w:cs="Calibri"/>
          <w:b w:val="0"/>
          <w:color w:val="262B32"/>
          <w:sz w:val="21"/>
        </w:rPr>
        <w:t xml:space="preserve"> 2026年7月22日</w:t>
      </w:r>
    </w:p>
    <w:p>
      <w:pPr>
        <w:keepNext/>
        <w:spacing w:before="0" w:after="60"/>
        <w:ind w:left="504" w:right="504" w:firstLine="0"/>
        <w:jc w:val="left"/>
      </w:pPr>
      <w:r>
        <w:rPr>
          <w:rFonts w:ascii="Calibri" w:hAnsi="Calibri" w:eastAsia="宋体" w:cs="Calibri"/>
          <w:b/>
          <w:color w:val="262B32"/>
          <w:sz w:val="21"/>
        </w:rPr>
        <w:t>比较基准：</w:t>
      </w:r>
      <w:r>
        <w:rPr>
          <w:rFonts w:ascii="Calibri" w:hAnsi="Calibri" w:eastAsia="宋体" w:cs="Calibri"/>
          <w:b w:val="0"/>
          <w:color w:val="262B32"/>
          <w:sz w:val="21"/>
        </w:rPr>
        <w:t xml:space="preserve"> v1.7版书稿</w:t>
      </w:r>
    </w:p>
    <w:p>
      <w:pPr>
        <w:keepNext/>
        <w:spacing w:before="0" w:after="280"/>
        <w:ind w:left="504" w:right="504" w:firstLine="0"/>
        <w:jc w:val="left"/>
      </w:pPr>
      <w:r>
        <w:rPr>
          <w:rFonts w:ascii="Calibri" w:hAnsi="Calibri" w:eastAsia="宋体" w:cs="Calibri"/>
          <w:b/>
          <w:color w:val="262B32"/>
          <w:sz w:val="21"/>
        </w:rPr>
        <w:t>文稿状态：</w:t>
      </w:r>
      <w:r>
        <w:rPr>
          <w:rFonts w:ascii="Calibri" w:hAnsi="Calibri" w:eastAsia="宋体" w:cs="Calibri"/>
          <w:b w:val="0"/>
          <w:color w:val="262B32"/>
          <w:sz w:val="21"/>
        </w:rPr>
        <w:t xml:space="preserve"> v3.0内容完整初稿，供作者审阅、编辑审读和试教使用，尚非排版定稿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一、版本说明摘要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《人工智能基础与实践（中职版）》v3.0是在v1.7应用型框架基础上的一次整体重构。本次修订没有放弃上一版“让学生使用AI完成任务”的长处，而是进一步回答三个更基础的问题：学生为什么要这样使用AI，作品失败时应依据什么原理进行修改，以及怎样把一次工具体验发展为可以测试、迭代、交付并承担责任的工程实践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新稿以中职学生能够接触的班级网站、实训室设备、值日安排、作品展示和专业工作流程为主要场景，以“班级AI应用系统”为贯穿全书的综合项目。学生从字符编码工具、规则问答机器人和迷你分类器起步，逐步加入自然语言处理、计算机视觉、大语言模型、知识增强、工具调用、智能体、专业工作流以及传感器和执行器，最终完成“信号卡智能提醒器”的系统集成，并在发布前完成隐私、版权、标识、权限和责任审查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本版的核心变化可以概括为：由“分章认识若干AI工具”转向“沿着技术原理持续开发一个系统”，由“与大模型对话”转向“指挥AI形成作品并对结果负责”，由“短时操作体验”转向“第一版—未知测试—原理解释—第二版—证据交付”的完整学习过程。这样既保留职业教育的实践属性，也补足人工智能经典知识、计算机科学基础和工程应用内容，使教材具备较长时间的使用价值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二、本轮重构重点解决的问题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1. 解决理论知识零散、技术主线不够完整的问题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v1.7版重视AI应用体验，但计算机怎样表示和处理信息、机器怎样从数据中学习、自然语言处理和计算机视觉经历了怎样的技术演进、大语言模型为什么能够生成文本等内容，尚未形成连续的知识结构。v3.0将计算与编码、规则与知识、数据与模型、语言与视觉、大语言模型、工具与智能体、系统与设备作为全书的承重结构，使学生既能做出作品，也能解释作品背后的基本原理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2. 解决案例较快完成、课堂过程容易变薄的问题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新稿不再把“按步骤完成一次操作”视为一章的主要实践。每章主任务必须形成可展示的第一版，并接受学生事先不知道的测试数据、换一种表达、设备变化、材料冲突或跨组盲测。学生根据失败证据学习原理，再完成第二版。作品必须保留版本文件、测试记录、成功与失败样例以及边界说明。实践因此不再停留在几分钟的演示，而能支撑一组完整的职业教育课堂活动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3. 解决教材语言与学生读者不完全匹配的问题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v3.0正文完全转向学生视角，采用中职学生能够理解的科技说明文写法：先呈现具体对象或现象，再提出问题，用事实、实验和必要术语解释原因，最后得出有适用范围的结论。教师组织、时间安排、参考答案和设备排障不再混入学生用书，单独形成课堂实施包。正文减少一两句话的碎片段落，避免用“工房”“挑战场”等含义不明确的自造称呼，项目、程序、设备和岗位均使用可理解、可检查的专业名称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4. 解决技术热点可能挤压基础知识的问题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检索增强生成、提示词技巧和当前流行的自然语言编程方式均保留，但不作为整本书的唯一主线。检索增强生成被放回“上下文、引用与知识增强”的工程环节；“vibe coding”仅作为时代现象介绍，教材采用更稳定的“意图—生成—验证—迭代”作为正式方法。这样既回应当前AI辅助开发的变化，又避免教材过度依赖某一种产品、界面或短期术语。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三、v3.0的总体定位与结构思路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本书定位为面向中等职业学校学生的人工智能通识与实践教材。它不要求学生从空白页独立编写大型程序，也不把学生训练为只会复制提示词和点击按钮的工具使用者。学生需要达到四项基本要求：能够把任务说明清楚；能够借助AI生成或修改小型程序和数字作品；能够识读输入、关键规则、输出和安全边界；能够用正常、边界和异常样例验证结果，并依据证据进行修改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全书14章分为四个递进单元，建议按14个教学单元、约40课时组织。其中第1—2章各2课时，第3—14章各3课时。学校可根据专业方向和设备条件进行弹性取舍。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7C0CB"/>
          <w:left w:val="single" w:sz="5" w:space="0" w:color="B7C0CB"/>
          <w:bottom w:val="single" w:sz="5" w:space="0" w:color="B7C0CB"/>
          <w:right w:val="single" w:sz="5" w:space="0" w:color="B7C0CB"/>
          <w:insideH w:val="single" w:sz="5" w:space="0" w:color="B7C0CB"/>
          <w:insideV w:val="single" w:sz="5" w:space="0" w:color="B7C0CB"/>
        </w:tblBorders>
      </w:tblPr>
      <w:tblGrid>
        <w:gridCol w:w="1700"/>
        <w:gridCol w:w="1300"/>
        <w:gridCol w:w="2980"/>
        <w:gridCol w:w="3380"/>
      </w:tblGrid>
      <w:tr>
        <w:trPr>
          <w:tblHeader w:val="true"/>
          <w:cantSplit/>
        </w:trP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单元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章节范围</w:t>
            </w:r>
          </w:p>
        </w:tc>
        <w:tc>
          <w:tcPr>
            <w:tcW w:type="dxa" w:w="29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主要内容</w:t>
            </w:r>
          </w:p>
        </w:tc>
        <w:tc>
          <w:tcPr>
            <w:tcW w:type="dxa" w:w="33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学生形成的关键能力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第一单元　计算与学习基础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第1—3章</w:t>
            </w:r>
          </w:p>
        </w:tc>
        <w:tc>
          <w:tcPr>
            <w:tcW w:type="dxa" w:w="29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二进制与编码，算法与程序，规则系统，数据、模型与训练</w:t>
            </w:r>
          </w:p>
        </w:tc>
        <w:tc>
          <w:tcPr>
            <w:tcW w:type="dxa" w:w="33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理解AI建立在计算之上；能比较“写规则”和“从数据学习”两种路线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第二单元　语言、视觉与内容生成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第4—6章</w:t>
            </w:r>
          </w:p>
        </w:tc>
        <w:tc>
          <w:tcPr>
            <w:tcW w:type="dxa" w:w="29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自然语言处理发展与语义表示，像素、特征与目标识别，语言模型、注意力、预训练与幻觉</w:t>
            </w:r>
          </w:p>
        </w:tc>
        <w:tc>
          <w:tcPr>
            <w:tcW w:type="dxa" w:w="33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理解语言、图像和文本生成的基本机制、发展脉络与能力边界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第三单元　人与AI协作完成任务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第7—10章</w:t>
            </w:r>
          </w:p>
        </w:tc>
        <w:tc>
          <w:tcPr>
            <w:tcW w:type="dxa" w:w="29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任务说明与验收，上下文、引用和知识增强，工具调用、权限、沙盒与测试，智能体状态与停止条件</w:t>
            </w:r>
          </w:p>
        </w:tc>
        <w:tc>
          <w:tcPr>
            <w:tcW w:type="dxa" w:w="33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能指挥AI完成多步工作，同时验证结果、限制权限并保留运行证据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第四单元　工程应用、系统集成与责任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第11—14章</w:t>
            </w:r>
          </w:p>
        </w:tc>
        <w:tc>
          <w:tcPr>
            <w:tcW w:type="dxa" w:w="29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专业工作流，传感器、执行器与反馈，系统接口、联调、测试和发布，伦理、法律与责任</w:t>
            </w:r>
          </w:p>
        </w:tc>
        <w:tc>
          <w:tcPr>
            <w:tcW w:type="dxa" w:w="33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能把AI嵌入专业任务和软硬件系统，并对发布边界作出判断</w:t>
            </w:r>
          </w:p>
        </w:tc>
      </w:tr>
    </w:tbl>
    <w:p>
      <w:pPr>
        <w:spacing w:before="0" w:after="40"/>
        <w:ind w:firstLine="0"/>
      </w:pP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全书的贯穿作品不是14个互不关联的小练习，而是逐章升级的“班级AI应用系统”。每增加一种能力，学生都要保留修改前后的版本及失败记录。到第14章，项目从基础版本发展到责任版本，完整经历需求、构建、测试、集成、交付和发布审查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四、本版的八个主要特点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1. 以计算机科学基础托住人工智能知识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第1章从二进制、字符编码、输入—处理—输出、算法和程序讲起；后续章节持续引入数据结构化、函数输入输出、程序状态、错误信息、接口、事件、延迟和反馈等必要知识。计算机科学内容不是另设一组脱离应用的概念，而是在学生开发作品、查找故障和连接设备时发挥作用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2. 将人工智能经典知识写成全书主干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规则系统、专家系统、机器学习、训练集和测试集、过拟合、自然语言处理的规则方法与统计方法、词向量直觉、像素与特征、卷积神经网络、图像分类与目标检测、语言模型、注意力、Transformer、预训练、微调与对齐等内容得到系统呈现。第1—6章集中建立基础，第7—14章再把这些原理用于AI协作与工程实践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3. 用技术发展史帮助学生理解原理为何变化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本书不把人工智能史写成需要机械记忆的年份表，而围绕“当时想解决什么问题—采用什么方法—实际取得什么成果—又遇到什么边界”展开。学生会在规则机器人、分类器、语义检索、视觉识别和逐词生成实验中重演若干关键技术路线。历史由作品的成功条件和失败现象引出，成为理解原理的方式，而不是装饰性的背景故事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4. 用一个贯穿项目形成持续的版本链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从项目基础v0.1到责任版本v8.0，学生每章都为同一个系统增加能力。第13章的“信号卡智能提醒器”不是突然出现的孤立作品，而是前面编码、规则、学习、视觉、工具、智能体、工作流和设备控制模块的综合集成。持续项目有利于学生形成文件管理、接口意识、版本意识和系统观念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5. 实践为主，但原理决定怎样修改作品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每章采用“做出第一版—接受未知测试—从失败进入原理—按原理完成第二版—展示证据与边界”的认知链。原理不是实践前的大段预告，也不是实践后的附加阅读，而是学生遇到真实问题后作出合理修改的依据。评价不只看作品能否运行，还看测试是否充分、原理解释是否准确、边界与责任是否说明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6. 将AI由聊天对象转化为生产与创造工具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AI在书中需要完成生成网页、修改程序、整理规则、处理资料、调用工具、编排步骤、生成图像和连接设备等真实工作。学生承担目标提出、材料提供、约束设置、结果验收、原理解释和责任判断。教材吸收当前AI辅助创作和自然语言驱动开发的趋势，但明确要求学生读懂关键结构、实际运行程序、保留版本并完成测试，不能凭感觉接受AI输出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7. 软件、硬件和工程方法逐步相接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第1章建立项目目录和本地运行方式，第5章接触摄像头输入，第9章学习工具与权限，第10章处理状态和停止条件，第12章加入传感器、执行器、反馈和动作降级，第13章完成模块接口与系统联调。硬件条件不足时可采用模拟模式，摄像头、音箱、指示灯或开发板均不是完成核心学习任务的强制前提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8. 将安全、伦理和责任落实为设计动作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安全责任不是只在书末进行原则性讨论。每章都设置与本章技术相对应的边界，例如数据采集范围、材料来源、工具权限、智能体停止条件、设备默认安全状态和人工确认。第14章再集中处理隐私、版权、生成内容标识、学业与职业诚信以及岗位变化。学生不仅要说明“可以做什么”，还要留下“为什么不做某项功能”的设计记录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五、与v1.7版的主要区别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v1.7版的优势在于较早把人机协同、提示、知识库、工具调用、智能体、专业工作流和物理AI引入中职教材。v3.0保留了这些有价值的方向，但调整了全书的承重结构和课堂实现方式。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7C0CB"/>
          <w:left w:val="single" w:sz="5" w:space="0" w:color="B7C0CB"/>
          <w:bottom w:val="single" w:sz="5" w:space="0" w:color="B7C0CB"/>
          <w:right w:val="single" w:sz="5" w:space="0" w:color="B7C0CB"/>
          <w:insideH w:val="single" w:sz="5" w:space="0" w:color="B7C0CB"/>
          <w:insideV w:val="single" w:sz="5" w:space="0" w:color="B7C0CB"/>
        </w:tblBorders>
      </w:tblPr>
      <w:tblGrid>
        <w:gridCol w:w="1450"/>
        <w:gridCol w:w="3350"/>
        <w:gridCol w:w="4560"/>
      </w:tblGrid>
      <w:tr>
        <w:trPr>
          <w:tblHeader w:val="true"/>
          <w:cantSplit/>
        </w:trP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比较维度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v1.7版的主要组织方式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/>
                <w:color w:val="262B32"/>
                <w:sz w:val="18"/>
              </w:rPr>
              <w:t>v3.0版的调整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总体起点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从“认识AI、使用AI完成任务”进入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先建立信息、编码、算法和程序基础，再进入规则、学习、语言、视觉与生成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知识结构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应用主题较突出，部分原理分散在不同章节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形成“计算基础—经典AI—大模型—工具与智能体—工程系统—责任发布”的连续结构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章节关系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各章案例相对独立，便于按主题选择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14章共同开发“班级AI应用系统”，前章成果成为后章输入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实践方式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以单次体验或完成一个功能为主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每章至少有两个版本、一轮未知测试、一次原理解释和一组交付证据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课堂深度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部分案例可能较快完成，后续探究主要依赖教师临时扩展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预置换数据、跨组盲测、材料冲突、设备变化和隐藏挑战，提前完成的小组继续做迁移任务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人工智能基础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数据、模型、预测、语义、视觉和大模型原理已有涉及，但系统性不足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补齐规则方法、机器学习基础、NLP技术史、计算机视觉路线和大语言模型机制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检索增强生成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以“知识库问答与检索增强生成”单列一章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作为“检索—装入上下文—生成并引用”的一种工程方法，纳入证据与知识增强章节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AI辅助开发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重点在与AI对话、改进提示和调用能力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采用“意图—生成—验证—迭代”，要求识读关键代码、运行、测试和版本管理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软件与硬件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摄像头、物理AI和综合作品主要集中在后部章节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从项目接口和摄像头输入开始铺垫，逐步加入权限、状态、反馈、动作降级与联调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工程意识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已有工作流、工具安全和智能体循环等优秀内容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进一步补充需求、接口、验收线、异常测试、回退、发布包和未解决问题清单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伦理责任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主要分散在具体任务的风险提示中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章章落实安全边界，并增设第14章完成发布前的综合责任审查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学生用书体例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个别表述偏教师话语或短段化，部分场景命名需要解释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统一为学生视角的科技说明文；教师组织独立进入实施包；控制单句段和碎片化栏目</w:t>
            </w:r>
          </w:p>
        </w:tc>
      </w:tr>
      <w:tr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center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使用年限</w:t>
            </w:r>
          </w:p>
        </w:tc>
        <w:tc>
          <w:tcPr>
            <w:tcW w:type="dxa" w:w="3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与当期工具和应用热点结合较紧</w:t>
            </w:r>
          </w:p>
        </w:tc>
        <w:tc>
          <w:tcPr>
            <w:tcW w:type="dxa" w:w="4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Lines/>
              <w:spacing w:before="0" w:after="0" w:line="259" w:lineRule="auto"/>
              <w:ind w:firstLine="0"/>
              <w:jc w:val="left"/>
            </w:pPr>
            <w:r>
              <w:rPr>
                <w:rFonts w:ascii="Calibri" w:hAnsi="Calibri" w:eastAsia="宋体" w:cs="Calibri"/>
                <w:b w:val="0"/>
                <w:color w:val="262B32"/>
                <w:sz w:val="18"/>
              </w:rPr>
              <w:t>优先采用稳定原理和通用方法，具体产品、版本和按钮进入可更新的数字资源</w:t>
            </w:r>
          </w:p>
        </w:tc>
      </w:tr>
    </w:tbl>
    <w:p>
      <w:pPr>
        <w:spacing w:before="0" w:after="40"/>
        <w:ind w:firstLine="0"/>
      </w:pP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六、v1.7版优秀内容的继承与转化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本轮并非另起炉灶。v1.7中已经形成的五类有价值内容，在v3.0中得到保留和强化。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第一，保留“人和AI共同完成任务”的基本立场，但把简单对话升级为有规格、有版本、有测试、有验收的共同开发。第二，保留知识库问答中的来源意识和证据链，将其扩展到全书的材料核查、引用核对和版本记录。第三，保留工具调用、沙箱与安全门的设计，将权限检查延伸到智能体、专业工作流和设备执行。第四，保留智能体循环与状态管理，将其与停止条件、结果回读、错误恢复和人工确认结合。第五，保留面向专业任务和物理世界的项目思路，并通过“信号卡智能提醒器”形成从软件模块到传感、执行、反馈、系统集成和责任发布的完整作品链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由此，v3.0与v1.7的关系不是“以新内容替换旧内容”，而是“保留应用优势，补建学科底座，拉通教学与工程过程”。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七、教材体例与教学实施设计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学生用书每章基本包含章首语、学习目标、本章任务、第一版制作、未知问题测试、原理与技术源流、第二版修订、展示互测、安全与责任、本章小结、分层习题和交付物。标题直接说明学习内容，不再使用“造、撞、明、修、秀”等作者内部阶段代号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小组实践通常设置需求负责人、构建负责人、测试负责人和记录讲解员。每组展示必须包括一项成功、一项失败、一次修正和一个边界说明。完成核心任务较快的学生进入新的未知样例、跨专业迁移或设备变化任务，不以修改颜色、字体等装饰性工作代替进阶学习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本版实行学生用书与教师资源分离。学生正文负责知识解释、实践任务和学习证据；教师实施包负责课时分配、课堂组织、角色轮换、挑战卡、参考答案、设备排障和无网络替代方案。基础实训以可离线运行的HTML页面为主，不强制依赖公网、商业账号或指定品牌产品，有利于不同地区和不同实训条件的学校实施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八、当前完成状态与资源形态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截至2026年7月22日，v3.0已形成以下内容：</w:t>
      </w:r>
    </w:p>
    <w:p>
      <w:pPr>
        <w:pStyle w:val="ListBullet"/>
        <w:ind w:hanging="360"/>
      </w:pPr>
      <w:r>
        <w:rPr>
          <w:rFonts w:ascii="Calibri" w:hAnsi="Calibri" w:eastAsia="宋体" w:cs="Calibri"/>
          <w:b w:val="0"/>
          <w:color w:val="262B32"/>
          <w:sz w:val="22"/>
        </w:rPr>
        <w:t>学生用书第1—14章完整初稿。正文及表格、代码等合计约12.3万个非空白字符，其中汉字约9.6万个；后续将随编辑加工、图注和版式调整发生小幅变化。</w:t>
      </w:r>
    </w:p>
    <w:p>
      <w:pPr>
        <w:pStyle w:val="ListBullet"/>
        <w:ind w:hanging="360"/>
      </w:pPr>
      <w:r>
        <w:rPr>
          <w:rFonts w:ascii="Calibri" w:hAnsi="Calibri" w:eastAsia="宋体" w:cs="Calibri"/>
          <w:b w:val="0"/>
          <w:color w:val="262B32"/>
          <w:sz w:val="22"/>
        </w:rPr>
        <w:t>14份课堂实施包，分别对应每章的课时安排、分组活动、挑战任务和课堂止损方案。</w:t>
      </w:r>
    </w:p>
    <w:p>
      <w:pPr>
        <w:pStyle w:val="ListBullet"/>
        <w:ind w:hanging="360"/>
      </w:pPr>
      <w:r>
        <w:rPr>
          <w:rFonts w:ascii="Calibri" w:hAnsi="Calibri" w:eastAsia="宋体" w:cs="Calibri"/>
          <w:b w:val="0"/>
          <w:color w:val="262B32"/>
          <w:sz w:val="22"/>
        </w:rPr>
        <w:t>14个单文件离线实训页，均不依赖外部脚本、字体、模型或网络数据，可用于基础教学和试教。</w:t>
      </w:r>
    </w:p>
    <w:p>
      <w:pPr>
        <w:pStyle w:val="ListBullet"/>
        <w:ind w:hanging="360"/>
      </w:pPr>
      <w:r>
        <w:rPr>
          <w:rFonts w:ascii="Calibri" w:hAnsi="Calibri" w:eastAsia="宋体" w:cs="Calibri"/>
          <w:b w:val="0"/>
          <w:color w:val="262B32"/>
          <w:sz w:val="22"/>
        </w:rPr>
        <w:t>14份事实核查与来源记录，用于技术史、经典论文、标准规范和法律名称的后续编辑复核。</w:t>
      </w:r>
    </w:p>
    <w:p>
      <w:pPr>
        <w:pStyle w:val="ListBullet"/>
        <w:ind w:hanging="360"/>
      </w:pPr>
      <w:r>
        <w:rPr>
          <w:rFonts w:ascii="Calibri" w:hAnsi="Calibri" w:eastAsia="宋体" w:cs="Calibri"/>
          <w:b w:val="0"/>
          <w:color w:val="262B32"/>
          <w:sz w:val="22"/>
        </w:rPr>
        <w:t>数字展示版已形成33幅承载知识的矢量图，包括原理流程、结构关系和实验对照；正式出版时仍需由责任编辑和美术编辑统一审查图题、图注、字号、线宽、灰度层次和印刷适性。</w:t>
      </w:r>
    </w:p>
    <w:p>
      <w:pPr>
        <w:pStyle w:val="ListBullet"/>
        <w:ind w:hanging="360"/>
      </w:pPr>
      <w:r>
        <w:rPr>
          <w:rFonts w:ascii="Calibri" w:hAnsi="Calibri" w:eastAsia="宋体" w:cs="Calibri"/>
          <w:b w:val="0"/>
          <w:color w:val="262B32"/>
          <w:sz w:val="22"/>
        </w:rPr>
        <w:t>14章章首叙事插画正在按统一视觉规范制作。该类插画用于建立任务情境，不替代正文原理图；正式制作将同时保留高分辨率印刷文件和网页展示文件。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当前稿件已达到编辑审读和试教前的内容完整状态，但尚需经过真实中职班级试教、学科专家复核、法律与合规复核、出版级插图制作、术语索引和图表编号统一，之后方可进入定稿和排版阶段。</w:t>
      </w:r>
    </w:p>
    <w:p>
      <w:pPr>
        <w:pStyle w:val="Heading1"/>
      </w:pPr>
      <w:r>
        <w:rPr>
          <w:rFonts w:ascii="Calibri" w:hAnsi="Calibri" w:eastAsia="微软雅黑" w:cs="Calibri"/>
          <w:b/>
          <w:color w:val="2E74B5"/>
          <w:sz w:val="32"/>
        </w:rPr>
        <w:t>九、请出版社专家指导的事项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1. 教材定位是否清楚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建议重点判断本书是否形成“中职人工智能通识＋项目实践＋工程素养”的稳定定位，理论深度与操作难度是否符合中职学生基础，哪些内容适合作为必修主干，哪些内容可进入拓展阅读或数字资源。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2. 经典知识与新技术的比例是否合适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建议审读第1—6章的计算机科学和人工智能原理是否足以支撑三到五年以上使用，同时检查第7—14章的新技术内容是否保持通用表达，避免对特定产品、版本和界面的依赖。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3. 课堂任务能否真实实施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建议通过样章试教观察三项指标：普通小组能否在规定时间内形成两个可比较版本；未知测试能否真正暴露问题；学生能否脱离教师话术，用自己的运行证据解释一项成功、一项失败和一项边界。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4. 学生语言与教材体例是否统一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建议重点审读章节间语体、术语首次解释、自然段完整性、标题层级和表格密度，继续删除教师口吻、网络热词和不明确的比喻性命名，使全文保持通俗而准确、亲切而专业的科技说明文风格。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5. 图像系统是否服务知识表达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建议将插图分为章首情境插画、原理图、作品版本图、实验结果图和必要的界面截图五类管理。优先保障原理图和实验图的知识功能，章首插画保持克制、清晰和适合教材印刷的风格，避免装饰性图片挤占版面。（目前插图尚未完成）</w:t>
      </w:r>
    </w:p>
    <w:p>
      <w:pPr>
        <w:pStyle w:val="Heading2"/>
      </w:pPr>
      <w:r>
        <w:rPr>
          <w:rFonts w:ascii="Calibri" w:hAnsi="Calibri" w:eastAsia="微软雅黑" w:cs="Calibri"/>
          <w:b/>
          <w:color w:val="1F4D78"/>
          <w:sz w:val="26"/>
        </w:rPr>
        <w:t>6. 出版边界是否需要进一步复核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第14章涉及隐私、著作权、肖像、生成内容标识和相关法规，正式出版前应由专业人员依据印刷时有效的法规和政策再次核对。书中教学清单只用于培养判断意识，不应被表述为正式法律意见或合规证明。</w:t>
      </w:r>
    </w:p>
    <w:p>
      <w:pPr>
        <w:pStyle w:val="Heading1"/>
        <w:pageBreakBefore/>
      </w:pPr>
      <w:r>
        <w:rPr>
          <w:rFonts w:ascii="Calibri" w:hAnsi="Calibri" w:eastAsia="微软雅黑" w:cs="Calibri"/>
          <w:b/>
          <w:color w:val="2E74B5"/>
          <w:sz w:val="32"/>
        </w:rPr>
        <w:t>十、结语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v3.0希望呈现的不是一本“教学生和AI聊天”的书，也不是一本压缩后的计算机专业教材，而是一本让中职学生在做作品的过程中理解人工智能基本原理、学习与AI共同开发、建立测试和工程意识并承担使用责任的教材。它以可运行作品保持学习兴趣，以经典知识保证内容深度，以失败证据推动真实理解，以软硬件集成连接职业场景，并用稳定的学科表达回应快速变化的技术环境。</w:t>
      </w:r>
    </w:p>
    <w:p>
      <w:pPr/>
      <w:r>
        <w:rPr>
          <w:rFonts w:ascii="Calibri" w:hAnsi="Calibri" w:eastAsia="宋体" w:cs="Calibri"/>
          <w:b w:val="0"/>
          <w:color w:val="262B32"/>
          <w:sz w:val="22"/>
        </w:rPr>
        <w:t>从出版角度看，本版已经完成由应用主题集合向完整教材体系的结构转换。下一阶段的重点是通过编辑审读和试教校准难度、课时和语言，在此基础上完成插图、图表、术语、索引、法律复核和版式统一。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 w:eastAsia="宋体" w:cs="Calibri"/>
        <w:color w:val="5C6770"/>
        <w:sz w:val="18"/>
      </w:rPr>
      <w:t xml:space="preserve">供出版社编辑审阅　·　</w:t>
    </w:r>
    <w:r>
      <w:rPr>
        <w:rFonts w:ascii="Calibri" w:hAnsi="Calibri" w:eastAsia="宋体" w:cs="Calibri"/>
        <w:color w:val="5C677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 w:eastAsia="宋体" w:cs="Calibri"/>
        <w:color w:val="5C6770"/>
        <w:sz w:val="18"/>
      </w:rPr>
      <w:t xml:space="preserve">供出版社编辑审阅　·　</w:t>
    </w:r>
    <w:r>
      <w:rPr>
        <w:rFonts w:ascii="Calibri" w:hAnsi="Calibri" w:eastAsia="宋体" w:cs="Calibri"/>
        <w:color w:val="5C677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微软雅黑" w:cs="Calibri"/>
        <w:color w:val="5C6770"/>
        <w:sz w:val="18"/>
      </w:rPr>
      <w:t>《人工智能基础与实践（中职版）》v3.0版本说明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ind w:firstLine="440"/>
      <w:jc w:val="both"/>
    </w:pPr>
    <w:rPr>
      <w:rFonts w:ascii="Calibri" w:hAnsi="Calibri" w:eastAsia="宋体" w:cs="Calibri"/>
      <w:b w:val="0"/>
      <w:color w:val="26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4" w:lineRule="auto"/>
      <w:ind w:firstLine="0"/>
      <w:outlineLvl w:val="0"/>
    </w:pPr>
    <w:rPr>
      <w:rFonts w:asciiTheme="majorHAnsi" w:eastAsiaTheme="majorEastAsia" w:hAnsiTheme="majorHAnsi" w:cstheme="majorBidi" w:ascii="Calibri" w:hAnsi="Calibri" w:eastAsia="微软雅黑" w:cs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64" w:lineRule="auto"/>
      <w:ind w:firstLine="0"/>
      <w:outlineLvl w:val="1"/>
    </w:pPr>
    <w:rPr>
      <w:rFonts w:asciiTheme="majorHAnsi" w:eastAsiaTheme="majorEastAsia" w:hAnsiTheme="majorHAnsi" w:cstheme="majorBidi" w:ascii="Calibri" w:hAnsi="Calibri" w:eastAsia="微软雅黑" w:cs="Calibr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ind w:firstLine="0"/>
      <w:outlineLvl w:val="2"/>
    </w:pPr>
    <w:rPr>
      <w:rFonts w:asciiTheme="majorHAnsi" w:eastAsiaTheme="majorEastAsia" w:hAnsiTheme="majorHAnsi" w:cstheme="majorBidi" w:ascii="Calibri" w:hAnsi="Calibri" w:eastAsia="微软雅黑" w:cs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160" w:line="280" w:lineRule="auto"/>
      <w:ind w:left="720" w:hanging="360"/>
      <w:contextualSpacing/>
    </w:pPr>
    <w:rPr>
      <w:rFonts w:ascii="Calibri" w:hAnsi="Calibri" w:eastAsia="宋体" w:cs="Calibri"/>
      <w:b w:val="0"/>
      <w:color w:val="262B32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160" w:line="280" w:lineRule="auto"/>
      <w:ind w:left="720" w:hanging="360"/>
      <w:contextualSpacing/>
    </w:pPr>
    <w:rPr>
      <w:rFonts w:ascii="Calibri" w:hAnsi="Calibri" w:eastAsia="宋体" w:cs="Calibri"/>
      <w:b w:val="0"/>
      <w:color w:val="262B32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《人工智能基础与实践（中职版）》v3.0版本特点与修订思路</dc:title>
  <dc:subject>中职版v3.0版本特点、修订思路及与v1.7版的比较说明</dc:subject>
  <dc:creator/>
  <cp:keywords>人工智能基础与实践; 中职教材; v3.0; 出版编辑</cp:keywords>
  <dc:description>供出版社编辑审阅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